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8F2ED63"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A32E66">
        <w:rPr>
          <w:rFonts w:cs="Arial"/>
          <w:sz w:val="24"/>
          <w:lang w:eastAsia="zh-CN"/>
        </w:rPr>
        <w:t>2</w:t>
      </w:r>
      <w:r w:rsidR="00B52CDD">
        <w:rPr>
          <w:rFonts w:cs="Arial"/>
          <w:sz w:val="24"/>
          <w:lang w:eastAsia="zh-CN"/>
        </w:rPr>
        <w:t>1</w:t>
      </w:r>
      <w:r w:rsidR="00405304">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815544" w:rsidRPr="00815544">
        <w:rPr>
          <w:rFonts w:cs="Arial"/>
          <w:sz w:val="24"/>
          <w:lang w:eastAsia="zh-CN"/>
        </w:rPr>
        <w:t>R2-</w:t>
      </w:r>
      <w:r w:rsidR="002A7D4D" w:rsidRPr="002A7D4D">
        <w:rPr>
          <w:rFonts w:cs="Arial"/>
          <w:sz w:val="24"/>
          <w:lang w:eastAsia="zh-CN"/>
        </w:rPr>
        <w:t>2303655</w:t>
      </w:r>
    </w:p>
    <w:p w14:paraId="2407D91B" w14:textId="1DF2E928" w:rsidR="00B52CDD" w:rsidRDefault="00405304" w:rsidP="00B52CDD">
      <w:pPr>
        <w:pStyle w:val="Header"/>
        <w:tabs>
          <w:tab w:val="right" w:pos="9639"/>
        </w:tabs>
        <w:jc w:val="both"/>
        <w:rPr>
          <w:rFonts w:cs="Arial"/>
          <w:sz w:val="24"/>
          <w:lang w:eastAsia="zh-CN"/>
        </w:rPr>
      </w:pPr>
      <w:r>
        <w:rPr>
          <w:rFonts w:cs="Arial"/>
          <w:sz w:val="24"/>
          <w:lang w:eastAsia="zh-CN"/>
        </w:rPr>
        <w:t>Online</w:t>
      </w:r>
      <w:r w:rsidR="00B52CDD" w:rsidRPr="00C74D81">
        <w:rPr>
          <w:rFonts w:cs="Arial"/>
          <w:sz w:val="24"/>
          <w:lang w:eastAsia="zh-CN"/>
        </w:rPr>
        <w:t xml:space="preserve">, </w:t>
      </w:r>
      <w:r>
        <w:rPr>
          <w:rFonts w:cs="Arial"/>
          <w:sz w:val="24"/>
          <w:lang w:eastAsia="zh-CN"/>
        </w:rPr>
        <w:t>1</w:t>
      </w:r>
      <w:r w:rsidR="00B52CDD">
        <w:rPr>
          <w:rFonts w:cs="Arial"/>
          <w:sz w:val="24"/>
          <w:lang w:eastAsia="zh-CN"/>
        </w:rPr>
        <w:t>7</w:t>
      </w:r>
      <w:r w:rsidR="00B52CDD">
        <w:rPr>
          <w:rFonts w:cs="Arial"/>
          <w:sz w:val="24"/>
          <w:vertAlign w:val="superscript"/>
          <w:lang w:eastAsia="zh-CN"/>
        </w:rPr>
        <w:t>th</w:t>
      </w:r>
      <w:r w:rsidR="00B52CDD" w:rsidRPr="002C2DE8">
        <w:rPr>
          <w:rFonts w:cs="Arial"/>
          <w:sz w:val="24"/>
          <w:lang w:eastAsia="zh-CN"/>
        </w:rPr>
        <w:t xml:space="preserve"> </w:t>
      </w:r>
      <w:r>
        <w:rPr>
          <w:rFonts w:cs="Arial"/>
          <w:sz w:val="24"/>
          <w:lang w:eastAsia="zh-CN"/>
        </w:rPr>
        <w:t>April</w:t>
      </w:r>
      <w:r w:rsidR="00B52CDD" w:rsidRPr="002C2DE8">
        <w:rPr>
          <w:rFonts w:cs="Arial"/>
          <w:sz w:val="24"/>
          <w:lang w:eastAsia="zh-CN"/>
        </w:rPr>
        <w:t xml:space="preserve"> – </w:t>
      </w:r>
      <w:r>
        <w:rPr>
          <w:rFonts w:cs="Arial"/>
          <w:sz w:val="24"/>
          <w:lang w:eastAsia="zh-CN"/>
        </w:rPr>
        <w:t>26</w:t>
      </w:r>
      <w:r>
        <w:rPr>
          <w:rFonts w:cs="Arial"/>
          <w:sz w:val="24"/>
          <w:vertAlign w:val="superscript"/>
          <w:lang w:eastAsia="zh-CN"/>
        </w:rPr>
        <w:t>th</w:t>
      </w:r>
      <w:r w:rsidR="00B52CDD" w:rsidRPr="002C2DE8">
        <w:rPr>
          <w:rFonts w:cs="Arial"/>
          <w:sz w:val="24"/>
          <w:lang w:eastAsia="zh-CN"/>
        </w:rPr>
        <w:t xml:space="preserve"> </w:t>
      </w:r>
      <w:r>
        <w:rPr>
          <w:rFonts w:cs="Arial"/>
          <w:sz w:val="24"/>
          <w:lang w:eastAsia="zh-CN"/>
        </w:rPr>
        <w:t>April</w:t>
      </w:r>
      <w:r w:rsidR="00B52CDD" w:rsidRPr="00C74D81">
        <w:rPr>
          <w:rFonts w:cs="Arial"/>
          <w:sz w:val="24"/>
          <w:lang w:eastAsia="zh-CN"/>
        </w:rPr>
        <w:t>, 202</w:t>
      </w:r>
      <w:r w:rsidR="00B52CDD">
        <w:rPr>
          <w:rFonts w:cs="Arial"/>
          <w:sz w:val="24"/>
          <w:lang w:eastAsia="zh-CN"/>
        </w:rPr>
        <w:t>3</w:t>
      </w:r>
      <w:r w:rsidR="00B52CD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BD02D8E"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05304">
        <w:rPr>
          <w:rFonts w:eastAsia="SimSun" w:cs="Arial"/>
          <w:b/>
          <w:bCs/>
          <w:kern w:val="2"/>
          <w:sz w:val="24"/>
          <w:szCs w:val="22"/>
          <w:lang w:val="en-US" w:eastAsia="zh-CN"/>
        </w:rPr>
        <w:t>7</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07AE8EA" w14:textId="46F2726B" w:rsidR="00405304" w:rsidRPr="00DD6145" w:rsidRDefault="00A74B8F" w:rsidP="00DD6145">
      <w:pPr>
        <w:rPr>
          <w:rFonts w:ascii="Times New Roman" w:hAnsi="Times New Roman"/>
        </w:rPr>
      </w:pPr>
      <w:r w:rsidRPr="00052DC7">
        <w:rPr>
          <w:rFonts w:ascii="Times New Roman" w:hAnsi="Times New Roman"/>
        </w:rPr>
        <w:t>T</w:t>
      </w:r>
      <w:r w:rsidR="007916A2" w:rsidRPr="00052DC7">
        <w:rPr>
          <w:rFonts w:ascii="Times New Roman" w:hAnsi="Times New Roman"/>
        </w:rPr>
        <w:t xml:space="preserve">he </w:t>
      </w:r>
      <w:r w:rsidR="00DD6145">
        <w:rPr>
          <w:rFonts w:ascii="Times New Roman" w:hAnsi="Times New Roman"/>
        </w:rPr>
        <w:t xml:space="preserve">issues on multi-path are discussed and some of the </w:t>
      </w:r>
      <w:r w:rsidR="007916A2" w:rsidRPr="00052DC7">
        <w:rPr>
          <w:rFonts w:ascii="Times New Roman" w:hAnsi="Times New Roman"/>
        </w:rPr>
        <w:t xml:space="preserve">agreements </w:t>
      </w:r>
      <w:r w:rsidRPr="00052DC7">
        <w:rPr>
          <w:rFonts w:ascii="Times New Roman" w:hAnsi="Times New Roman"/>
        </w:rPr>
        <w:t>achieved in RAN2#</w:t>
      </w:r>
      <w:r w:rsidR="00B90087" w:rsidRPr="00052DC7">
        <w:rPr>
          <w:rFonts w:ascii="Times New Roman" w:hAnsi="Times New Roman"/>
        </w:rPr>
        <w:t>1</w:t>
      </w:r>
      <w:r w:rsidR="00B90087">
        <w:rPr>
          <w:rFonts w:ascii="Times New Roman" w:hAnsi="Times New Roman"/>
        </w:rPr>
        <w:t>2</w:t>
      </w:r>
      <w:r w:rsidR="00405304">
        <w:rPr>
          <w:rFonts w:ascii="Times New Roman" w:hAnsi="Times New Roman"/>
        </w:rPr>
        <w:t>1</w:t>
      </w:r>
      <w:r w:rsidR="00DD6145">
        <w:rPr>
          <w:rFonts w:ascii="Times New Roman" w:hAnsi="Times New Roman"/>
        </w:rPr>
        <w:t>[1] are listed below</w:t>
      </w:r>
      <w:r w:rsidRPr="00052DC7">
        <w:rPr>
          <w:rFonts w:ascii="Times New Roman" w:hAnsi="Times New Roman"/>
        </w:rPr>
        <w:t>.</w:t>
      </w:r>
    </w:p>
    <w:p w14:paraId="16463266" w14:textId="77777777" w:rsidR="00405304" w:rsidRDefault="00405304" w:rsidP="00405304">
      <w:pPr>
        <w:pStyle w:val="Doc-text2"/>
        <w:pBdr>
          <w:top w:val="single" w:sz="4" w:space="1" w:color="auto"/>
          <w:left w:val="single" w:sz="4" w:space="4" w:color="auto"/>
          <w:bottom w:val="single" w:sz="4" w:space="1" w:color="auto"/>
          <w:right w:val="single" w:sz="4" w:space="4" w:color="auto"/>
        </w:pBdr>
      </w:pPr>
      <w:r>
        <w:t>Agreement:</w:t>
      </w:r>
    </w:p>
    <w:p w14:paraId="1E084148" w14:textId="77777777" w:rsidR="00405304" w:rsidRDefault="00405304" w:rsidP="00405304">
      <w:pPr>
        <w:pStyle w:val="Doc-text2"/>
        <w:pBdr>
          <w:top w:val="single" w:sz="4" w:space="1" w:color="auto"/>
          <w:left w:val="single" w:sz="4" w:space="4" w:color="auto"/>
          <w:bottom w:val="single" w:sz="4" w:space="1" w:color="auto"/>
          <w:right w:val="single" w:sz="4" w:space="4" w:color="auto"/>
        </w:pBdr>
      </w:pPr>
      <w:r>
        <w:t>Change of direct path while keeping the indirect path can be done with a release-and-add in a single RRC message.  This does not exclude a gNB implementation from using separate release and add procedures instead.</w:t>
      </w:r>
    </w:p>
    <w:p w14:paraId="7FC8D275" w14:textId="77777777" w:rsidR="00405304" w:rsidRDefault="00405304" w:rsidP="00405304">
      <w:pPr>
        <w:pStyle w:val="Doc-text2"/>
        <w:ind w:left="0" w:firstLine="0"/>
      </w:pPr>
    </w:p>
    <w:p w14:paraId="563ECE82" w14:textId="77777777" w:rsidR="00405304" w:rsidRDefault="00405304" w:rsidP="00405304">
      <w:pPr>
        <w:pStyle w:val="Doc-text2"/>
        <w:pBdr>
          <w:top w:val="single" w:sz="4" w:space="1" w:color="auto"/>
          <w:left w:val="single" w:sz="4" w:space="4" w:color="auto"/>
          <w:bottom w:val="single" w:sz="4" w:space="1" w:color="auto"/>
          <w:right w:val="single" w:sz="4" w:space="4" w:color="auto"/>
        </w:pBdr>
      </w:pPr>
      <w:r>
        <w:t>Agreement:</w:t>
      </w:r>
    </w:p>
    <w:p w14:paraId="71EAA450" w14:textId="042457A1" w:rsidR="00405304" w:rsidRPr="000A6983" w:rsidRDefault="00405304" w:rsidP="000A6983">
      <w:pPr>
        <w:pStyle w:val="Doc-text2"/>
        <w:pBdr>
          <w:top w:val="single" w:sz="4" w:space="1" w:color="auto"/>
          <w:left w:val="single" w:sz="4" w:space="4" w:color="auto"/>
          <w:bottom w:val="single" w:sz="4" w:space="1" w:color="auto"/>
          <w:right w:val="single" w:sz="4" w:space="4" w:color="auto"/>
        </w:pBdr>
      </w:pPr>
      <w:r>
        <w:t>Change of indirect path while keeping the direct path can be done with a release-and-add in a single RRC message.  This does not exclude a gNB implementation from using separate release and add procedures instead.</w:t>
      </w:r>
    </w:p>
    <w:p w14:paraId="01AC9F7F" w14:textId="6320B61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2B3AB2FA" w14:textId="27C5B852" w:rsidR="00F01987" w:rsidRPr="00052DC7" w:rsidRDefault="00B44C23" w:rsidP="00F01987">
      <w:pPr>
        <w:spacing w:beforeLines="50" w:before="156" w:afterLines="50" w:after="156"/>
        <w:rPr>
          <w:rFonts w:ascii="Times New Roman" w:hAnsi="Times New Roman"/>
          <w:b/>
          <w:bCs/>
        </w:rPr>
      </w:pPr>
      <w:r w:rsidRPr="00052DC7">
        <w:rPr>
          <w:rFonts w:ascii="Times New Roman" w:hAnsi="Times New Roman"/>
        </w:rPr>
        <w:t xml:space="preserve">It has been </w:t>
      </w:r>
      <w:r w:rsidR="00E83224" w:rsidRPr="00052DC7">
        <w:rPr>
          <w:rFonts w:ascii="Times New Roman" w:hAnsi="Times New Roman"/>
        </w:rPr>
        <w:t>agreed that</w:t>
      </w:r>
      <w:r w:rsidR="00D21823" w:rsidRPr="00052DC7">
        <w:rPr>
          <w:rFonts w:ascii="Times New Roman" w:hAnsi="Times New Roman"/>
        </w:rPr>
        <w:t xml:space="preserve"> </w:t>
      </w:r>
      <w:r w:rsidR="002F138D">
        <w:rPr>
          <w:rFonts w:ascii="Times New Roman" w:hAnsi="Times New Roman"/>
        </w:rPr>
        <w:t>c</w:t>
      </w:r>
      <w:r w:rsidR="002F138D" w:rsidRPr="002F138D">
        <w:rPr>
          <w:rFonts w:ascii="Times New Roman" w:hAnsi="Times New Roman"/>
        </w:rPr>
        <w:t xml:space="preserve">hange of indirect path while keeping the direct path can be done with a release-and-add in a single RRC message. </w:t>
      </w:r>
      <w:r w:rsidR="00BE0062">
        <w:rPr>
          <w:rFonts w:ascii="Times New Roman" w:hAnsi="Times New Roman"/>
        </w:rPr>
        <w:t xml:space="preserve">Referring to </w:t>
      </w:r>
      <w:r w:rsidR="00BE0062" w:rsidRPr="00BE0062">
        <w:rPr>
          <w:rFonts w:ascii="Times New Roman" w:hAnsi="Times New Roman"/>
        </w:rPr>
        <w:t>RRCReconfiguration</w:t>
      </w:r>
      <w:r w:rsidR="00BE0062">
        <w:rPr>
          <w:rFonts w:ascii="Times New Roman" w:hAnsi="Times New Roman"/>
        </w:rPr>
        <w:t xml:space="preserve">, the </w:t>
      </w:r>
      <w:r w:rsidR="00BE0062" w:rsidRPr="00BE0062">
        <w:rPr>
          <w:rFonts w:ascii="Times New Roman" w:hAnsi="Times New Roman"/>
        </w:rPr>
        <w:t xml:space="preserve">reconfiguration message including </w:t>
      </w:r>
      <w:proofErr w:type="spellStart"/>
      <w:r w:rsidR="00BE0062" w:rsidRPr="00BE0062">
        <w:rPr>
          <w:rFonts w:ascii="Times New Roman" w:hAnsi="Times New Roman"/>
        </w:rPr>
        <w:t>reconfiguration</w:t>
      </w:r>
      <w:r w:rsidR="008D473F">
        <w:rPr>
          <w:rFonts w:ascii="Times New Roman" w:hAnsi="Times New Roman"/>
        </w:rPr>
        <w:t>W</w:t>
      </w:r>
      <w:r w:rsidR="00BE0062" w:rsidRPr="00BE0062">
        <w:rPr>
          <w:rFonts w:ascii="Times New Roman" w:hAnsi="Times New Roman"/>
        </w:rPr>
        <w:t>ith</w:t>
      </w:r>
      <w:r w:rsidR="008D473F">
        <w:rPr>
          <w:rFonts w:ascii="Times New Roman" w:hAnsi="Times New Roman"/>
        </w:rPr>
        <w:t>S</w:t>
      </w:r>
      <w:r w:rsidR="00BE0062" w:rsidRPr="00BE0062">
        <w:rPr>
          <w:rFonts w:ascii="Times New Roman" w:hAnsi="Times New Roman"/>
        </w:rPr>
        <w:t>ync</w:t>
      </w:r>
      <w:proofErr w:type="spellEnd"/>
      <w:r w:rsidR="00BE0062" w:rsidRPr="00BE0062">
        <w:rPr>
          <w:rFonts w:ascii="Times New Roman" w:hAnsi="Times New Roman"/>
        </w:rPr>
        <w:t xml:space="preserve"> IE can be reused for the case of indirect path change while keeping the direct path.</w:t>
      </w:r>
      <w:r w:rsidR="00BE0062" w:rsidRPr="00BE0062" w:rsidDel="002F138D">
        <w:rPr>
          <w:rFonts w:ascii="Times New Roman" w:hAnsi="Times New Roman"/>
        </w:rPr>
        <w:t xml:space="preserve"> </w:t>
      </w:r>
      <w:r w:rsidR="00E83224" w:rsidRPr="00052DC7">
        <w:rPr>
          <w:rFonts w:ascii="Times New Roman" w:hAnsi="Times New Roman"/>
        </w:rPr>
        <w:t xml:space="preserve">,  </w:t>
      </w:r>
      <w:r w:rsidR="007F04DA" w:rsidRPr="00052DC7">
        <w:rPr>
          <w:rFonts w:ascii="Times New Roman" w:hAnsi="Times New Roman"/>
        </w:rPr>
        <w:t xml:space="preserve">Correspondingly, </w:t>
      </w:r>
      <w:r w:rsidR="002F138D" w:rsidRPr="00052DC7">
        <w:rPr>
          <w:rFonts w:ascii="Times New Roman" w:hAnsi="Times New Roman"/>
        </w:rPr>
        <w:t xml:space="preserve">it is natural to support </w:t>
      </w:r>
      <w:r w:rsidR="007F04DA" w:rsidRPr="00052DC7">
        <w:rPr>
          <w:rFonts w:ascii="Times New Roman" w:hAnsi="Times New Roman"/>
        </w:rPr>
        <w:t xml:space="preserve">the related legacy timer, </w:t>
      </w:r>
      <w:r w:rsidR="00CF77C0" w:rsidRPr="00052DC7">
        <w:rPr>
          <w:rFonts w:ascii="Times New Roman" w:hAnsi="Times New Roman"/>
        </w:rPr>
        <w:t>e.g.,</w:t>
      </w:r>
      <w:r w:rsidR="007F04DA" w:rsidRPr="00052DC7">
        <w:rPr>
          <w:rFonts w:ascii="Times New Roman" w:hAnsi="Times New Roman"/>
        </w:rPr>
        <w:t xml:space="preserve"> T420 can also be reused in multi-path </w:t>
      </w:r>
      <w:r w:rsidR="00855D9A" w:rsidRPr="00052DC7">
        <w:rPr>
          <w:rFonts w:ascii="Times New Roman" w:hAnsi="Times New Roman"/>
        </w:rPr>
        <w:t xml:space="preserve">relaying </w:t>
      </w:r>
      <w:r w:rsidR="007F04DA" w:rsidRPr="00052DC7">
        <w:rPr>
          <w:rFonts w:ascii="Times New Roman" w:hAnsi="Times New Roman"/>
        </w:rPr>
        <w:t>case.</w:t>
      </w:r>
      <w:r w:rsidR="00387A63">
        <w:rPr>
          <w:rFonts w:ascii="Times New Roman" w:hAnsi="Times New Roman"/>
        </w:rPr>
        <w:t xml:space="preserve"> In order to indicate the indirect </w:t>
      </w:r>
      <w:proofErr w:type="gramStart"/>
      <w:r w:rsidR="00387A63">
        <w:rPr>
          <w:rFonts w:ascii="Times New Roman" w:hAnsi="Times New Roman"/>
        </w:rPr>
        <w:t>path</w:t>
      </w:r>
      <w:proofErr w:type="gramEnd"/>
      <w:r w:rsidR="00387A63">
        <w:rPr>
          <w:rFonts w:ascii="Times New Roman" w:hAnsi="Times New Roman"/>
        </w:rPr>
        <w:t xml:space="preserve"> change and the direct path maintenance, there could be two options. One </w:t>
      </w:r>
      <w:r w:rsidR="007750FE">
        <w:rPr>
          <w:rFonts w:ascii="Times New Roman" w:hAnsi="Times New Roman"/>
        </w:rPr>
        <w:t>option</w:t>
      </w:r>
      <w:r w:rsidR="00115B2C">
        <w:rPr>
          <w:rFonts w:ascii="Times New Roman" w:hAnsi="Times New Roman"/>
        </w:rPr>
        <w:t xml:space="preserve"> is</w:t>
      </w:r>
      <w:r w:rsidR="00387A63">
        <w:rPr>
          <w:rFonts w:ascii="Times New Roman" w:hAnsi="Times New Roman"/>
        </w:rPr>
        <w:t xml:space="preserve"> a delta-like indication, </w:t>
      </w:r>
      <w:proofErr w:type="gramStart"/>
      <w:r w:rsidR="00387A63">
        <w:rPr>
          <w:rFonts w:ascii="Times New Roman" w:hAnsi="Times New Roman"/>
        </w:rPr>
        <w:t>e.g.</w:t>
      </w:r>
      <w:proofErr w:type="gramEnd"/>
      <w:r w:rsidR="00387A63">
        <w:rPr>
          <w:rFonts w:ascii="Times New Roman" w:hAnsi="Times New Roman"/>
        </w:rPr>
        <w:t xml:space="preserve"> only indirect path configuration </w:t>
      </w:r>
      <w:r w:rsidR="00115B2C">
        <w:rPr>
          <w:rFonts w:ascii="Times New Roman" w:hAnsi="Times New Roman"/>
        </w:rPr>
        <w:t xml:space="preserve">associated with target relay UE </w:t>
      </w:r>
      <w:r w:rsidR="00387A63">
        <w:rPr>
          <w:rFonts w:ascii="Times New Roman" w:hAnsi="Times New Roman"/>
        </w:rPr>
        <w:t xml:space="preserve">is included, another is full configuration-like indication, e.g. </w:t>
      </w:r>
      <w:r w:rsidR="00387A63" w:rsidRPr="00387A63">
        <w:rPr>
          <w:rFonts w:ascii="Times New Roman" w:hAnsi="Times New Roman"/>
        </w:rPr>
        <w:t>both direct path and indirect path are included</w:t>
      </w:r>
      <w:r w:rsidR="0007372F">
        <w:rPr>
          <w:rFonts w:ascii="Times New Roman" w:hAnsi="Times New Roman"/>
        </w:rPr>
        <w:t xml:space="preserve"> in the </w:t>
      </w:r>
      <w:r w:rsidR="0007372F" w:rsidRPr="00BE0062">
        <w:rPr>
          <w:rFonts w:ascii="Times New Roman" w:hAnsi="Times New Roman"/>
        </w:rPr>
        <w:t>reconfiguration message</w:t>
      </w:r>
      <w:r w:rsidR="00387A63">
        <w:rPr>
          <w:rFonts w:ascii="Times New Roman" w:hAnsi="Times New Roman"/>
        </w:rPr>
        <w:t>.</w:t>
      </w:r>
    </w:p>
    <w:p w14:paraId="7A03E0EC" w14:textId="2C1421B0" w:rsidR="00F01D36" w:rsidRDefault="008704E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125EA5">
        <w:rPr>
          <w:rFonts w:ascii="Times New Roman" w:hAnsi="Times New Roman"/>
          <w:b/>
          <w:bCs/>
        </w:rPr>
        <w:t>1</w:t>
      </w:r>
      <w:r w:rsidR="00937DB2" w:rsidRPr="00052DC7">
        <w:rPr>
          <w:rFonts w:ascii="Times New Roman" w:hAnsi="Times New Roman"/>
          <w:b/>
          <w:bCs/>
        </w:rPr>
        <w:t xml:space="preserve">: </w:t>
      </w:r>
      <w:r w:rsidR="00F01987" w:rsidRPr="00052DC7">
        <w:rPr>
          <w:rFonts w:ascii="Times New Roman" w:hAnsi="Times New Roman"/>
          <w:b/>
          <w:bCs/>
        </w:rPr>
        <w:t>Legacy timer</w:t>
      </w:r>
      <w:r w:rsidR="0032040E" w:rsidRPr="00052DC7">
        <w:rPr>
          <w:rFonts w:ascii="Times New Roman" w:hAnsi="Times New Roman"/>
          <w:b/>
          <w:bCs/>
        </w:rPr>
        <w:t xml:space="preserve"> </w:t>
      </w:r>
      <w:r w:rsidR="00F01987" w:rsidRPr="00052DC7">
        <w:rPr>
          <w:rFonts w:ascii="Times New Roman" w:hAnsi="Times New Roman"/>
          <w:b/>
          <w:bCs/>
        </w:rPr>
        <w:t xml:space="preserve">T420 can be reused in </w:t>
      </w:r>
      <w:r w:rsidR="0032040E" w:rsidRPr="00052DC7">
        <w:rPr>
          <w:rFonts w:ascii="Times New Roman" w:hAnsi="Times New Roman"/>
          <w:b/>
          <w:bCs/>
        </w:rPr>
        <w:t>the case of relay change</w:t>
      </w:r>
      <w:r w:rsidR="00F01987" w:rsidRPr="00052DC7">
        <w:rPr>
          <w:rFonts w:ascii="Times New Roman" w:hAnsi="Times New Roman"/>
          <w:b/>
          <w:bCs/>
        </w:rPr>
        <w:t>.</w:t>
      </w:r>
    </w:p>
    <w:p w14:paraId="7326B22E" w14:textId="61A9865C" w:rsidR="00125EA5" w:rsidRPr="00091EE0" w:rsidRDefault="00125EA5" w:rsidP="00125EA5">
      <w:pPr>
        <w:spacing w:beforeLines="50" w:before="156" w:afterLines="50" w:after="156"/>
        <w:rPr>
          <w:rFonts w:ascii="Times New Roman" w:hAnsi="Times New Roman"/>
          <w:b/>
          <w:bCs/>
        </w:rPr>
      </w:pPr>
      <w:r w:rsidRPr="00052DC7">
        <w:rPr>
          <w:rFonts w:ascii="Times New Roman" w:hAnsi="Times New Roman"/>
          <w:b/>
          <w:bCs/>
        </w:rPr>
        <w:t>Proposal 2</w:t>
      </w:r>
      <w:r w:rsidRPr="00091EE0">
        <w:rPr>
          <w:rFonts w:ascii="Times New Roman" w:hAnsi="Times New Roman"/>
          <w:b/>
          <w:bCs/>
        </w:rPr>
        <w:t xml:space="preserve">: </w:t>
      </w:r>
      <w:r w:rsidR="007961BF" w:rsidRPr="007961BF">
        <w:rPr>
          <w:rFonts w:ascii="Times New Roman" w:hAnsi="Times New Roman"/>
          <w:b/>
          <w:bCs/>
        </w:rPr>
        <w:t>RRCReconfiguration</w:t>
      </w:r>
      <w:r w:rsidRPr="00091EE0">
        <w:rPr>
          <w:rFonts w:ascii="Times New Roman" w:hAnsi="Times New Roman"/>
          <w:b/>
          <w:bCs/>
        </w:rPr>
        <w:t xml:space="preserve"> message including </w:t>
      </w:r>
      <w:proofErr w:type="spellStart"/>
      <w:r w:rsidRPr="00091EE0">
        <w:rPr>
          <w:rFonts w:ascii="Times New Roman" w:hAnsi="Times New Roman"/>
          <w:b/>
          <w:bCs/>
        </w:rPr>
        <w:t>reconfiguration</w:t>
      </w:r>
      <w:r w:rsidR="007C41CE">
        <w:rPr>
          <w:rFonts w:ascii="Times New Roman" w:hAnsi="Times New Roman"/>
          <w:b/>
          <w:bCs/>
        </w:rPr>
        <w:t>W</w:t>
      </w:r>
      <w:r w:rsidRPr="00091EE0">
        <w:rPr>
          <w:rFonts w:ascii="Times New Roman" w:hAnsi="Times New Roman"/>
          <w:b/>
          <w:bCs/>
        </w:rPr>
        <w:t>ith</w:t>
      </w:r>
      <w:r w:rsidR="007C41CE">
        <w:rPr>
          <w:rFonts w:ascii="Times New Roman" w:hAnsi="Times New Roman"/>
          <w:b/>
          <w:bCs/>
        </w:rPr>
        <w:t>S</w:t>
      </w:r>
      <w:r w:rsidRPr="00091EE0">
        <w:rPr>
          <w:rFonts w:ascii="Times New Roman" w:hAnsi="Times New Roman"/>
          <w:b/>
          <w:bCs/>
        </w:rPr>
        <w:t>ync</w:t>
      </w:r>
      <w:proofErr w:type="spellEnd"/>
      <w:r w:rsidRPr="00091EE0">
        <w:rPr>
          <w:rFonts w:ascii="Times New Roman" w:hAnsi="Times New Roman"/>
          <w:b/>
          <w:bCs/>
        </w:rPr>
        <w:t xml:space="preserve"> IE can be reused for the case of indirect path </w:t>
      </w:r>
      <w:r>
        <w:rPr>
          <w:rFonts w:ascii="Times New Roman" w:hAnsi="Times New Roman"/>
          <w:b/>
          <w:bCs/>
        </w:rPr>
        <w:t xml:space="preserve">change </w:t>
      </w:r>
      <w:r w:rsidRPr="00091EE0">
        <w:rPr>
          <w:rFonts w:ascii="Times New Roman" w:hAnsi="Times New Roman"/>
          <w:b/>
          <w:bCs/>
        </w:rPr>
        <w:t>while keeping the direct path.</w:t>
      </w:r>
    </w:p>
    <w:p w14:paraId="2E8E89BF" w14:textId="7BA69E71" w:rsidR="00125EA5" w:rsidRPr="00091EE0" w:rsidRDefault="00406914" w:rsidP="00125EA5">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3</w:t>
      </w:r>
      <w:r w:rsidR="00125EA5" w:rsidRPr="00091EE0">
        <w:rPr>
          <w:rFonts w:ascii="Times New Roman" w:hAnsi="Times New Roman"/>
          <w:b/>
          <w:bCs/>
        </w:rPr>
        <w:t>: RAN2 to discuss the content of indirect path change command while keeping the direct path.</w:t>
      </w:r>
    </w:p>
    <w:p w14:paraId="2D4721C1" w14:textId="77777777" w:rsidR="00125EA5" w:rsidRPr="00EF68B3" w:rsidRDefault="00125EA5" w:rsidP="00125EA5">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Option1: only indirect path configuration is included.</w:t>
      </w:r>
    </w:p>
    <w:p w14:paraId="1CE6B9E3" w14:textId="77777777" w:rsidR="00125EA5" w:rsidRPr="00EF68B3" w:rsidRDefault="00125EA5" w:rsidP="00125EA5">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 xml:space="preserve">Option 2: </w:t>
      </w:r>
      <w:bookmarkStart w:id="6" w:name="_Hlk131433716"/>
      <w:r w:rsidRPr="00EF68B3">
        <w:rPr>
          <w:b/>
          <w:bCs/>
        </w:rPr>
        <w:t>both direct path and indirect path are included</w:t>
      </w:r>
      <w:bookmarkEnd w:id="6"/>
      <w:r w:rsidRPr="00EF68B3">
        <w:rPr>
          <w:b/>
          <w:bCs/>
        </w:rPr>
        <w:t>.</w:t>
      </w:r>
    </w:p>
    <w:p w14:paraId="5A5B2A89" w14:textId="202A3D00" w:rsidR="00F01987" w:rsidRPr="00052DC7" w:rsidRDefault="005C4138" w:rsidP="00F01987">
      <w:pPr>
        <w:spacing w:beforeLines="50" w:before="156" w:afterLines="50" w:after="156"/>
        <w:rPr>
          <w:rFonts w:ascii="Times New Roman" w:hAnsi="Times New Roman"/>
          <w:b/>
          <w:bCs/>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w:t>
      </w:r>
      <w:r w:rsidR="00C24475" w:rsidRPr="00052DC7">
        <w:rPr>
          <w:rFonts w:ascii="Times New Roman" w:hAnsi="Times New Roman"/>
        </w:rPr>
        <w:lastRenderedPageBreak/>
        <w:t xml:space="preserve">one path or multi-path in the target side. </w:t>
      </w:r>
      <w:r w:rsidR="00BB2472" w:rsidRPr="00052DC7">
        <w:rPr>
          <w:rFonts w:ascii="Times New Roman" w:hAnsi="Times New Roman"/>
        </w:rPr>
        <w:t xml:space="preserve">And for the indirect path, it can be further distinguished as </w:t>
      </w:r>
      <w:bookmarkStart w:id="7" w:name="_Hlk110357862"/>
      <w:r w:rsidR="00BB2472" w:rsidRPr="00052DC7">
        <w:rPr>
          <w:rFonts w:ascii="Times New Roman" w:hAnsi="Times New Roman"/>
        </w:rPr>
        <w:t>same or different relays in the source side and target side</w:t>
      </w:r>
      <w:bookmarkEnd w:id="7"/>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767BB789" w14:textId="234FA4DF"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4</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4174CA17"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5</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4C7D560A" w14:textId="561D6932"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Considering the existing mechanisms, </w:t>
      </w:r>
      <w:r w:rsidR="00844CF7" w:rsidRPr="00052DC7">
        <w:rPr>
          <w:rFonts w:ascii="Times New Roman" w:hAnsi="Times New Roman"/>
        </w:rP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 SRB</w:t>
      </w:r>
      <w:r w:rsidR="00753F89" w:rsidRPr="00052DC7">
        <w:rPr>
          <w:rFonts w:ascii="Times New Roman" w:hAnsi="Times New Roman"/>
        </w:rPr>
        <w:t>,</w:t>
      </w:r>
      <w:r w:rsidR="00844CF7" w:rsidRPr="00052DC7">
        <w:rPr>
          <w:rFonts w:ascii="Times New Roman" w:hAnsi="Times New Roman"/>
        </w:rPr>
        <w:t xml:space="preserve"> the state is always active and cannot be dynamically </w:t>
      </w:r>
      <w:r w:rsidR="00753F89" w:rsidRPr="00052DC7">
        <w:rPr>
          <w:rFonts w:ascii="Times New Roman" w:hAnsi="Times New Roman"/>
        </w:rPr>
        <w:t>controlled.</w:t>
      </w:r>
      <w:r w:rsidRPr="00052DC7">
        <w:rPr>
          <w:rFonts w:ascii="Times New Roman" w:hAnsi="Times New Roman"/>
        </w:rPr>
        <w:t xml:space="preserve"> </w:t>
      </w:r>
    </w:p>
    <w:p w14:paraId="4F8364DF" w14:textId="70D6754D" w:rsidR="00F01987" w:rsidRPr="00052DC7" w:rsidRDefault="00AE14DC" w:rsidP="00F01987">
      <w:pPr>
        <w:spacing w:beforeLines="50" w:before="156" w:afterLines="50" w:after="156"/>
        <w:rPr>
          <w:rFonts w:ascii="Times New Roman" w:hAnsi="Times New Roman"/>
        </w:rPr>
      </w:pPr>
      <w:r w:rsidRPr="00052DC7">
        <w:rPr>
          <w:rFonts w:ascii="Times New Roman" w:hAnsi="Times New Roman"/>
        </w:rPr>
        <w:t>S</w:t>
      </w:r>
      <w:r w:rsidR="00F01987" w:rsidRPr="00052DC7">
        <w:rPr>
          <w:rFonts w:ascii="Times New Roman" w:hAnsi="Times New Roman"/>
        </w:rPr>
        <w:t>ince the purpose is similar to the legacy case</w:t>
      </w:r>
      <w:r w:rsidR="00ED782E" w:rsidRPr="00052DC7">
        <w:rPr>
          <w:rFonts w:ascii="Times New Roman" w:hAnsi="Times New Roman"/>
        </w:rPr>
        <w:t>,</w:t>
      </w:r>
      <w:r w:rsidR="00F01987" w:rsidRPr="00052DC7">
        <w:rPr>
          <w:rFonts w:ascii="Times New Roman" w:hAnsi="Times New Roman"/>
        </w:rPr>
        <w:t xml:space="preserve"> </w:t>
      </w:r>
      <w:r w:rsidR="009E7AAB" w:rsidRPr="00052DC7">
        <w:rPr>
          <w:rFonts w:ascii="Times New Roman" w:hAnsi="Times New Roman"/>
        </w:rPr>
        <w:t xml:space="preserve">the existing activation/deactivation procedure </w:t>
      </w:r>
      <w:r w:rsidRPr="00052DC7">
        <w:rPr>
          <w:rFonts w:ascii="Times New Roman" w:hAnsi="Times New Roman"/>
        </w:rPr>
        <w:t>can be used as</w:t>
      </w:r>
      <w:r w:rsidR="009E7AAB" w:rsidRPr="00052DC7">
        <w:rPr>
          <w:rFonts w:ascii="Times New Roman" w:hAnsi="Times New Roman"/>
        </w:rPr>
        <w:t xml:space="preserve"> the baseline for multi-path</w:t>
      </w:r>
      <w:r w:rsidR="00C04EE7" w:rsidRPr="00052DC7">
        <w:rPr>
          <w:rFonts w:ascii="Times New Roman" w:hAnsi="Times New Roman"/>
        </w:rPr>
        <w:t xml:space="preserve"> relaying</w:t>
      </w:r>
      <w:r w:rsidR="009E7AAB" w:rsidRPr="00052DC7">
        <w:rPr>
          <w:rFonts w:ascii="Times New Roman" w:hAnsi="Times New Roman"/>
        </w:rPr>
        <w:t xml:space="preserve"> case.</w:t>
      </w:r>
      <w:r w:rsidR="003737B9" w:rsidRPr="00052DC7">
        <w:rPr>
          <w:rFonts w:ascii="Times New Roman" w:hAnsi="Times New Roman"/>
        </w:rPr>
        <w:t xml:space="preserve"> Correspondingly, the Duplication Activation/Deactivation MAC CE can be reused to activation/deactivation PDCP DRB.</w:t>
      </w:r>
    </w:p>
    <w:p w14:paraId="7EC1AAD4" w14:textId="3879AE58"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 xml:space="preserve">: The </w:t>
      </w:r>
      <w:r w:rsidR="0047714A" w:rsidRPr="00052DC7">
        <w:rPr>
          <w:rFonts w:ascii="Times New Roman" w:hAnsi="Times New Roman"/>
          <w:b/>
          <w:bCs/>
        </w:rPr>
        <w:t xml:space="preserve">activation/deactivation </w:t>
      </w:r>
      <w:r w:rsidR="007A5892" w:rsidRPr="00052DC7">
        <w:rPr>
          <w:rFonts w:ascii="Times New Roman" w:hAnsi="Times New Roman"/>
          <w:b/>
          <w:bCs/>
        </w:rPr>
        <w:t>of PDCP duplication</w:t>
      </w:r>
      <w:r w:rsidR="00093F11" w:rsidRPr="00052DC7">
        <w:rPr>
          <w:rFonts w:ascii="Times New Roman" w:hAnsi="Times New Roman"/>
          <w:b/>
          <w:bCs/>
        </w:rPr>
        <w:t xml:space="preserve"> for a DRB</w:t>
      </w:r>
      <w:r w:rsidR="007A5892" w:rsidRPr="00052DC7">
        <w:rPr>
          <w:rFonts w:ascii="Times New Roman" w:hAnsi="Times New Roman"/>
          <w:b/>
          <w:bCs/>
        </w:rPr>
        <w:t xml:space="preserve"> </w:t>
      </w:r>
      <w:r w:rsidR="00093F11" w:rsidRPr="00052DC7">
        <w:rPr>
          <w:rFonts w:ascii="Times New Roman" w:hAnsi="Times New Roman"/>
          <w:b/>
          <w:bCs/>
        </w:rPr>
        <w:t>in multi-path relaying case</w:t>
      </w:r>
      <w:r w:rsidR="00093F11" w:rsidRPr="00052DC7" w:rsidDel="00093F11">
        <w:rPr>
          <w:rFonts w:ascii="Times New Roman" w:hAnsi="Times New Roman"/>
          <w:b/>
          <w:bCs/>
        </w:rPr>
        <w:t xml:space="preserve"> </w:t>
      </w:r>
      <w:r w:rsidR="00093F11" w:rsidRPr="00052DC7">
        <w:rPr>
          <w:rFonts w:ascii="Times New Roman" w:hAnsi="Times New Roman"/>
          <w:b/>
          <w:bCs/>
        </w:rPr>
        <w:t>can be dynamically controlled by the gNB</w:t>
      </w:r>
      <w:r w:rsidRPr="00052DC7">
        <w:rPr>
          <w:rFonts w:ascii="Times New Roman" w:hAnsi="Times New Roman"/>
          <w:b/>
          <w:bCs/>
        </w:rPr>
        <w:t xml:space="preserve">. </w:t>
      </w:r>
    </w:p>
    <w:p w14:paraId="2E4CA9AC" w14:textId="2F224594" w:rsidR="00AC50D8" w:rsidRPr="00052DC7" w:rsidRDefault="00AC50D8" w:rsidP="0030323E">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The Duplication Activation/Deactivation MAC CE can be reused.</w:t>
      </w:r>
    </w:p>
    <w:p w14:paraId="66C395D4" w14:textId="379B2CBC"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With the similar consideration, the mechanism of data split can be used to allow the transmission to be switched among the direct path and indirect path in Rel-18 multi-path </w:t>
      </w:r>
      <w:r w:rsidR="00741A50" w:rsidRPr="00052DC7">
        <w:rPr>
          <w:rFonts w:ascii="Times New Roman" w:hAnsi="Times New Roman"/>
        </w:rPr>
        <w:t xml:space="preserve">relaying </w:t>
      </w:r>
      <w:r w:rsidRPr="00052DC7">
        <w:rPr>
          <w:rFonts w:ascii="Times New Roman" w:hAnsi="Times New Roman"/>
        </w:rPr>
        <w:t xml:space="preserve">case. The legacy configuration and transmission rule can be applied to Rel-18 multi-path </w:t>
      </w:r>
      <w:r w:rsidR="00741A50" w:rsidRPr="00052DC7">
        <w:rPr>
          <w:rFonts w:ascii="Times New Roman" w:hAnsi="Times New Roman"/>
        </w:rPr>
        <w:t xml:space="preserve">relaying </w:t>
      </w:r>
      <w:r w:rsidRPr="00052DC7">
        <w:rPr>
          <w:rFonts w:ascii="Times New Roman" w:hAnsi="Times New Roman"/>
        </w:rPr>
        <w:t>case as the baseline.</w:t>
      </w:r>
      <w:r w:rsidR="00EC298E" w:rsidRPr="00052DC7">
        <w:rPr>
          <w:rFonts w:ascii="Times New Roman" w:hAnsi="Times New Roman"/>
        </w:rPr>
        <w:t xml:space="preserve"> Then the existing data volume threshold </w:t>
      </w:r>
      <w:r w:rsidR="00E326B6" w:rsidRPr="00052DC7">
        <w:rPr>
          <w:rFonts w:ascii="Times New Roman" w:hAnsi="Times New Roman"/>
        </w:rPr>
        <w:t xml:space="preserve">for split bearer </w:t>
      </w:r>
      <w:r w:rsidR="00EC298E" w:rsidRPr="00052DC7">
        <w:rPr>
          <w:rFonts w:ascii="Times New Roman" w:hAnsi="Times New Roman"/>
        </w:rPr>
        <w:t xml:space="preserve">can be </w:t>
      </w:r>
      <w:r w:rsidR="001D1CA2" w:rsidRPr="00052DC7">
        <w:rPr>
          <w:rFonts w:ascii="Times New Roman" w:hAnsi="Times New Roman"/>
        </w:rPr>
        <w:t>considered as a baseline, and some enhancements may be needed to support MP split bearer in multi-path relaying case</w:t>
      </w:r>
      <w:r w:rsidR="00EC298E" w:rsidRPr="00052DC7">
        <w:rPr>
          <w:rFonts w:ascii="Times New Roman" w:hAnsi="Times New Roman"/>
        </w:rPr>
        <w:t>.</w:t>
      </w:r>
    </w:p>
    <w:p w14:paraId="7857C7F2" w14:textId="50D40FEA"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8</w:t>
      </w:r>
      <w:r w:rsidRPr="00052DC7">
        <w:rPr>
          <w:rFonts w:ascii="Times New Roman" w:hAnsi="Times New Roman"/>
          <w:b/>
          <w:bCs/>
        </w:rPr>
        <w:t xml:space="preserve">: </w:t>
      </w:r>
      <w:r w:rsidR="001D1CA2" w:rsidRPr="00052DC7">
        <w:rPr>
          <w:rFonts w:ascii="Times New Roman" w:hAnsi="Times New Roman"/>
          <w:b/>
          <w:bCs/>
        </w:rPr>
        <w:t>Both legacy data volume threshold for split bearer and some enhancements can be considered to support MP split bearer in multi-path relaying case</w:t>
      </w:r>
      <w:r w:rsidRPr="00052DC7">
        <w:rPr>
          <w:rFonts w:ascii="Times New Roman" w:hAnsi="Times New Roman"/>
          <w:b/>
          <w:bCs/>
        </w:rPr>
        <w:t>.</w:t>
      </w:r>
    </w:p>
    <w:p w14:paraId="7CEC6374" w14:textId="42A50698" w:rsidR="00F00AD4" w:rsidRPr="00052DC7" w:rsidRDefault="00F00AD4" w:rsidP="00F01987">
      <w:pPr>
        <w:spacing w:beforeLines="50" w:before="156" w:afterLines="50" w:after="156"/>
        <w:rPr>
          <w:rFonts w:ascii="Times New Roman" w:hAnsi="Times New Roman"/>
          <w:b/>
          <w:bCs/>
        </w:rPr>
      </w:pPr>
    </w:p>
    <w:p w14:paraId="4FFAD3A1" w14:textId="30E96610"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p>
    <w:p w14:paraId="783A4AB6" w14:textId="3F34C189" w:rsidR="00E47969" w:rsidRPr="00052DC7" w:rsidRDefault="00E47969" w:rsidP="00E47969">
      <w:pPr>
        <w:rPr>
          <w:rFonts w:ascii="Times New Roman" w:hAnsi="Times New Roman"/>
        </w:rPr>
      </w:pPr>
      <w:r w:rsidRPr="00052DC7">
        <w:rPr>
          <w:rFonts w:ascii="Times New Roman" w:hAnsi="Times New Roman"/>
        </w:rPr>
        <w:t xml:space="preserve">Based on the above agreement, 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6F512672" w14:textId="77777777" w:rsidR="00E47969" w:rsidRPr="00052DC7" w:rsidRDefault="00E47969" w:rsidP="00E47969">
      <w:pPr>
        <w:keepNext/>
        <w:jc w:val="center"/>
        <w:rPr>
          <w:rFonts w:ascii="Times New Roman" w:hAnsi="Times New Roman"/>
        </w:rPr>
      </w:pPr>
      <w:r w:rsidRPr="00052DC7">
        <w:rPr>
          <w:rFonts w:ascii="Times New Roman" w:hAnsi="Times New Roman"/>
        </w:rPr>
        <w:object w:dxaOrig="9376" w:dyaOrig="7876" w14:anchorId="45917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2pt" o:ole="">
            <v:imagedata r:id="rId8" o:title=""/>
          </v:shape>
          <o:OLEObject Type="Embed" ProgID="Visio.Drawing.15" ShapeID="_x0000_i1025" DrawAspect="Content" ObjectID="_1742325201" r:id="rId9"/>
        </w:object>
      </w:r>
    </w:p>
    <w:p w14:paraId="173CC6D9" w14:textId="2C1322E0" w:rsidR="00E47969" w:rsidRPr="00052DC7" w:rsidRDefault="00E47969" w:rsidP="00E47969">
      <w:pPr>
        <w:pStyle w:val="Caption"/>
        <w:jc w:val="center"/>
        <w:rPr>
          <w:rFonts w:ascii="Times New Roman" w:hAnsi="Times New Roman"/>
        </w:rPr>
      </w:pPr>
      <w:bookmarkStart w:id="8"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Inter cell - Intra gNB multipaths for a SL remote UE</w:t>
      </w:r>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9"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9"/>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sidelink data that is destined for another sidelink UE i.e., relay acts also as a UE to UE relay and forward this data on the sidelink interface to a destination sidelink remote UE (data type-d)</w:t>
      </w:r>
    </w:p>
    <w:p w14:paraId="54391A4F" w14:textId="77777777" w:rsidR="00487519" w:rsidRPr="00052DC7" w:rsidRDefault="00487519"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4.8pt;height:165.6pt" o:ole="">
            <v:imagedata r:id="rId10" o:title=""/>
          </v:shape>
          <o:OLEObject Type="Embed" ProgID="Visio.Drawing.15" ShapeID="_x0000_i1026" DrawAspect="Content" ObjectID="_1742325202" r:id="rId11"/>
        </w:object>
      </w:r>
    </w:p>
    <w:p w14:paraId="499870BC" w14:textId="13F15C4C" w:rsidR="00154C6E" w:rsidRPr="00052DC7" w:rsidRDefault="00487519" w:rsidP="001D1CA2">
      <w:pPr>
        <w:jc w:val="center"/>
        <w:rPr>
          <w:rFonts w:ascii="Times New Roman" w:hAnsi="Times New Roman"/>
        </w:rPr>
      </w:pPr>
      <w:bookmarkStart w:id="10" w:name="_Ref116982881"/>
      <w:bookmarkStart w:id="11"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10"/>
      <w:bookmarkEnd w:id="11"/>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proofErr w:type="spellStart"/>
      <w:r w:rsidR="00A45059" w:rsidRPr="00052DC7">
        <w:rPr>
          <w:rFonts w:ascii="Times New Roman" w:hAnsi="Times New Roman"/>
          <w:i/>
          <w:iCs/>
        </w:rPr>
        <w:t>sl-ConfigDedicatedNR</w:t>
      </w:r>
      <w:proofErr w:type="spellEnd"/>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347506B2"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9</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w:t>
      </w:r>
      <w:r w:rsidR="0077404C">
        <w:rPr>
          <w:rFonts w:ascii="Times New Roman" w:hAnsi="Times New Roman"/>
          <w:b/>
          <w:bCs/>
        </w:rPr>
        <w:t>-</w:t>
      </w:r>
      <w:r w:rsidR="00C9264A" w:rsidRPr="00052DC7">
        <w:rPr>
          <w:rFonts w:ascii="Times New Roman" w:hAnsi="Times New Roman"/>
          <w:b/>
          <w:bCs/>
        </w:rPr>
        <w:t>path scenario.</w:t>
      </w:r>
    </w:p>
    <w:p w14:paraId="5F746180" w14:textId="6FAC89C0" w:rsidR="00C9264A" w:rsidRPr="00052DC7"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sidRPr="00052DC7">
        <w:rPr>
          <w:rFonts w:ascii="Times New Roman" w:hAnsi="Times New Roman"/>
          <w:b/>
          <w:bCs/>
        </w:rPr>
        <w:t>1</w:t>
      </w:r>
      <w:r w:rsidR="00E47365">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w:t>
      </w:r>
      <w:r w:rsidR="00D20EE1">
        <w:rPr>
          <w:rFonts w:ascii="Times New Roman" w:hAnsi="Times New Roman"/>
          <w:b/>
          <w:bCs/>
        </w:rPr>
        <w:t>-</w:t>
      </w:r>
      <w:r w:rsidRPr="00052DC7">
        <w:rPr>
          <w:rFonts w:ascii="Times New Roman" w:hAnsi="Times New Roman"/>
          <w:b/>
          <w:bCs/>
        </w:rPr>
        <w:t>path scenario.</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63A8BC2E" w14:textId="77777777" w:rsidR="00470A96"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1</w:t>
      </w:r>
      <w:r w:rsidRPr="00052DC7">
        <w:rPr>
          <w:rFonts w:ascii="Times New Roman" w:hAnsi="Times New Roman"/>
          <w:b/>
          <w:bCs/>
        </w:rPr>
        <w:t>: Legacy timer T420 can be reused in the case of relay change.</w:t>
      </w:r>
    </w:p>
    <w:p w14:paraId="5B4829A5" w14:textId="77777777" w:rsidR="00470A96" w:rsidRPr="00091EE0" w:rsidRDefault="00470A96" w:rsidP="00470A96">
      <w:pPr>
        <w:spacing w:beforeLines="50" w:before="156" w:afterLines="50" w:after="156"/>
        <w:rPr>
          <w:rFonts w:ascii="Times New Roman" w:hAnsi="Times New Roman"/>
          <w:b/>
          <w:bCs/>
        </w:rPr>
      </w:pPr>
      <w:r w:rsidRPr="00052DC7">
        <w:rPr>
          <w:rFonts w:ascii="Times New Roman" w:hAnsi="Times New Roman"/>
          <w:b/>
          <w:bCs/>
        </w:rPr>
        <w:t>Proposal 2</w:t>
      </w:r>
      <w:r w:rsidRPr="00091EE0">
        <w:rPr>
          <w:rFonts w:ascii="Times New Roman" w:hAnsi="Times New Roman"/>
          <w:b/>
          <w:bCs/>
        </w:rPr>
        <w:t xml:space="preserve">: </w:t>
      </w:r>
      <w:r w:rsidRPr="007961BF">
        <w:rPr>
          <w:rFonts w:ascii="Times New Roman" w:hAnsi="Times New Roman"/>
          <w:b/>
          <w:bCs/>
        </w:rPr>
        <w:t>RRCReconfiguration</w:t>
      </w:r>
      <w:r w:rsidRPr="00091EE0">
        <w:rPr>
          <w:rFonts w:ascii="Times New Roman" w:hAnsi="Times New Roman"/>
          <w:b/>
          <w:bCs/>
        </w:rPr>
        <w:t xml:space="preserve"> message including </w:t>
      </w:r>
      <w:proofErr w:type="spellStart"/>
      <w:r w:rsidRPr="00091EE0">
        <w:rPr>
          <w:rFonts w:ascii="Times New Roman" w:hAnsi="Times New Roman"/>
          <w:b/>
          <w:bCs/>
        </w:rPr>
        <w:t>reconfiguration</w:t>
      </w:r>
      <w:r>
        <w:rPr>
          <w:rFonts w:ascii="Times New Roman" w:hAnsi="Times New Roman"/>
          <w:b/>
          <w:bCs/>
        </w:rPr>
        <w:t>W</w:t>
      </w:r>
      <w:r w:rsidRPr="00091EE0">
        <w:rPr>
          <w:rFonts w:ascii="Times New Roman" w:hAnsi="Times New Roman"/>
          <w:b/>
          <w:bCs/>
        </w:rPr>
        <w:t>ith</w:t>
      </w:r>
      <w:r>
        <w:rPr>
          <w:rFonts w:ascii="Times New Roman" w:hAnsi="Times New Roman"/>
          <w:b/>
          <w:bCs/>
        </w:rPr>
        <w:t>S</w:t>
      </w:r>
      <w:r w:rsidRPr="00091EE0">
        <w:rPr>
          <w:rFonts w:ascii="Times New Roman" w:hAnsi="Times New Roman"/>
          <w:b/>
          <w:bCs/>
        </w:rPr>
        <w:t>ync</w:t>
      </w:r>
      <w:proofErr w:type="spellEnd"/>
      <w:r w:rsidRPr="00091EE0">
        <w:rPr>
          <w:rFonts w:ascii="Times New Roman" w:hAnsi="Times New Roman"/>
          <w:b/>
          <w:bCs/>
        </w:rPr>
        <w:t xml:space="preserve"> IE can be reused for the case </w:t>
      </w:r>
      <w:r w:rsidRPr="00091EE0">
        <w:rPr>
          <w:rFonts w:ascii="Times New Roman" w:hAnsi="Times New Roman"/>
          <w:b/>
          <w:bCs/>
        </w:rPr>
        <w:lastRenderedPageBreak/>
        <w:t xml:space="preserve">of indirect path </w:t>
      </w:r>
      <w:r>
        <w:rPr>
          <w:rFonts w:ascii="Times New Roman" w:hAnsi="Times New Roman"/>
          <w:b/>
          <w:bCs/>
        </w:rPr>
        <w:t xml:space="preserve">change </w:t>
      </w:r>
      <w:r w:rsidRPr="00091EE0">
        <w:rPr>
          <w:rFonts w:ascii="Times New Roman" w:hAnsi="Times New Roman"/>
          <w:b/>
          <w:bCs/>
        </w:rPr>
        <w:t>while keeping the direct path.</w:t>
      </w:r>
    </w:p>
    <w:p w14:paraId="7A727F39" w14:textId="77777777" w:rsidR="00470A96" w:rsidRPr="00091EE0"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3</w:t>
      </w:r>
      <w:r w:rsidRPr="00091EE0">
        <w:rPr>
          <w:rFonts w:ascii="Times New Roman" w:hAnsi="Times New Roman"/>
          <w:b/>
          <w:bCs/>
        </w:rPr>
        <w:t>: RAN2 to discuss the content of indirect path change command while keeping the direct path.</w:t>
      </w:r>
    </w:p>
    <w:p w14:paraId="15879735" w14:textId="77777777" w:rsidR="00470A96" w:rsidRPr="00EF68B3" w:rsidRDefault="00470A96" w:rsidP="00470A96">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Option1: only indirect path configuration is included.</w:t>
      </w:r>
    </w:p>
    <w:p w14:paraId="0DC09C81" w14:textId="77777777" w:rsidR="00470A96" w:rsidRPr="00EF68B3" w:rsidRDefault="00470A96" w:rsidP="00470A96">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 2: both direct path and indirect path are included.</w:t>
      </w:r>
    </w:p>
    <w:p w14:paraId="57413483"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4</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7B886FD6"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3C375450"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31AA465F"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 (different relays in the source gNB and target gNB);</w:t>
      </w:r>
    </w:p>
    <w:p w14:paraId="67AE2133"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5</w:t>
      </w:r>
      <w:r w:rsidRPr="00052DC7">
        <w:rPr>
          <w:rFonts w:ascii="Times New Roman" w:hAnsi="Times New Roman"/>
          <w:b/>
          <w:bCs/>
        </w:rPr>
        <w:t>: Inter-gNB handover of a remote UE together with the same relay UE in Scenario 2 should be discussed.</w:t>
      </w:r>
    </w:p>
    <w:p w14:paraId="4E094EDA" w14:textId="36164583"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w:t>
      </w:r>
      <w:r w:rsidR="006D54F1" w:rsidRPr="00052DC7">
        <w:rPr>
          <w:rFonts w:ascii="Times New Roman" w:hAnsi="Times New Roman"/>
          <w:b/>
          <w:bCs/>
        </w:rPr>
        <w:t xml:space="preserve"> </w:t>
      </w:r>
      <w:r w:rsidR="003E7362" w:rsidRPr="00052DC7">
        <w:rPr>
          <w:rFonts w:ascii="Times New Roman" w:hAnsi="Times New Roman"/>
          <w:b/>
          <w:bCs/>
        </w:rPr>
        <w:t>The activation/deactivation of PDCP duplication for a DRB in multi-path relaying case</w:t>
      </w:r>
      <w:r w:rsidR="003E7362" w:rsidRPr="00052DC7" w:rsidDel="00093F11">
        <w:rPr>
          <w:rFonts w:ascii="Times New Roman" w:hAnsi="Times New Roman"/>
          <w:b/>
          <w:bCs/>
        </w:rPr>
        <w:t xml:space="preserve"> </w:t>
      </w:r>
      <w:r w:rsidR="003E7362" w:rsidRPr="00052DC7">
        <w:rPr>
          <w:rFonts w:ascii="Times New Roman" w:hAnsi="Times New Roman"/>
          <w:b/>
          <w:bCs/>
        </w:rPr>
        <w:t>can be dynamically controlled by the gNB</w:t>
      </w:r>
      <w:r w:rsidR="006D54F1" w:rsidRPr="00052DC7">
        <w:rPr>
          <w:rFonts w:ascii="Times New Roman" w:hAnsi="Times New Roman"/>
          <w:b/>
          <w:bCs/>
        </w:rPr>
        <w:t>.</w:t>
      </w:r>
    </w:p>
    <w:p w14:paraId="5622DFAE" w14:textId="0F758FF4"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xml:space="preserve">: </w:t>
      </w:r>
      <w:r w:rsidR="00784029" w:rsidRPr="00052DC7">
        <w:rPr>
          <w:rFonts w:ascii="Times New Roman" w:hAnsi="Times New Roman"/>
          <w:b/>
          <w:bCs/>
        </w:rPr>
        <w:t>The Duplication Activation/Deactivation MAC CE can be reused</w:t>
      </w:r>
      <w:r w:rsidRPr="00052DC7">
        <w:rPr>
          <w:rFonts w:ascii="Times New Roman" w:hAnsi="Times New Roman"/>
          <w:b/>
          <w:bCs/>
        </w:rPr>
        <w:t xml:space="preserve">. </w:t>
      </w:r>
    </w:p>
    <w:p w14:paraId="6FCDEF54" w14:textId="2C20438E"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8</w:t>
      </w:r>
      <w:r w:rsidRPr="00052DC7">
        <w:rPr>
          <w:rFonts w:ascii="Times New Roman" w:hAnsi="Times New Roman"/>
          <w:b/>
          <w:bCs/>
        </w:rPr>
        <w:t>: Both legacy data volume threshold for split bearer and some enhancements can be considered to support MP split bearer in multi-path relaying case.</w:t>
      </w:r>
    </w:p>
    <w:p w14:paraId="7C53201D"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9</w:t>
      </w:r>
      <w:r w:rsidRPr="00052DC7">
        <w:rPr>
          <w:rFonts w:ascii="Times New Roman" w:hAnsi="Times New Roman"/>
          <w:b/>
          <w:bCs/>
        </w:rPr>
        <w:t>: Remote UE can use mode 2 SL transmission resources from both the serving cells in a multi</w:t>
      </w:r>
      <w:r>
        <w:rPr>
          <w:rFonts w:ascii="Times New Roman" w:hAnsi="Times New Roman"/>
          <w:b/>
          <w:bCs/>
        </w:rPr>
        <w:t>-</w:t>
      </w:r>
      <w:r w:rsidRPr="00052DC7">
        <w:rPr>
          <w:rFonts w:ascii="Times New Roman" w:hAnsi="Times New Roman"/>
          <w:b/>
          <w:bCs/>
        </w:rPr>
        <w:t>path scenario.</w:t>
      </w:r>
    </w:p>
    <w:p w14:paraId="2F3FA01D" w14:textId="432557C0" w:rsidR="00052DC7" w:rsidRPr="00C4565E" w:rsidRDefault="00470A96" w:rsidP="00052DC7">
      <w:pPr>
        <w:spacing w:beforeLines="50" w:before="156" w:afterLines="50" w:after="156"/>
        <w:rPr>
          <w:rFonts w:ascii="Times New Roman" w:hAnsi="Times New Roman"/>
          <w:b/>
          <w:bCs/>
        </w:rPr>
      </w:pPr>
      <w:r w:rsidRPr="00052DC7">
        <w:rPr>
          <w:rFonts w:ascii="Times New Roman" w:hAnsi="Times New Roman"/>
          <w:b/>
          <w:bCs/>
        </w:rPr>
        <w:t>Proposal 1</w:t>
      </w:r>
      <w:r>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w:t>
      </w:r>
      <w:r>
        <w:rPr>
          <w:rFonts w:ascii="Times New Roman" w:hAnsi="Times New Roman"/>
          <w:b/>
          <w:bCs/>
        </w:rPr>
        <w:t>-</w:t>
      </w:r>
      <w:r w:rsidRPr="00052DC7">
        <w:rPr>
          <w:rFonts w:ascii="Times New Roman" w:hAnsi="Times New Roman"/>
          <w:b/>
          <w:bCs/>
        </w:rPr>
        <w:t>path scenario.</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2CA9202A" w:rsidR="001921B4" w:rsidRPr="00B45971" w:rsidRDefault="0071024D" w:rsidP="001921B4">
      <w:pPr>
        <w:pStyle w:val="References"/>
        <w:rPr>
          <w:lang w:val="de-DE"/>
        </w:rPr>
      </w:pPr>
      <w:r w:rsidRPr="001D1CA2">
        <w:rPr>
          <w:lang w:val="de-DE" w:eastAsia="zh-CN"/>
        </w:rPr>
        <w:t>RAN2#</w:t>
      </w:r>
      <w:r w:rsidR="00E47365">
        <w:rPr>
          <w:lang w:val="de-DE" w:eastAsia="zh-CN"/>
        </w:rPr>
        <w:t>12</w:t>
      </w:r>
      <w:r w:rsidR="00DD6145">
        <w:rPr>
          <w:lang w:val="de-DE" w:eastAsia="zh-CN"/>
        </w:rPr>
        <w:t>1</w:t>
      </w:r>
      <w:r w:rsidRPr="001D1CA2">
        <w:rPr>
          <w:lang w:val="de-DE" w:eastAsia="zh-CN"/>
        </w:rPr>
        <w:t xml:space="preserve"> </w:t>
      </w:r>
      <w:proofErr w:type="spellStart"/>
      <w:r w:rsidRPr="001D1CA2">
        <w:rPr>
          <w:lang w:val="de-DE" w:eastAsia="zh-CN"/>
        </w:rPr>
        <w:t>chairman</w:t>
      </w:r>
      <w:proofErr w:type="spellEnd"/>
      <w:r w:rsidRPr="001D1CA2">
        <w:rPr>
          <w:lang w:val="de-DE" w:eastAsia="zh-CN"/>
        </w:rPr>
        <w:t xml:space="preserve"> </w:t>
      </w:r>
      <w:proofErr w:type="spellStart"/>
      <w:r w:rsidRPr="001D1CA2">
        <w:rPr>
          <w:lang w:val="de-DE" w:eastAsia="zh-CN"/>
        </w:rPr>
        <w:t>note</w:t>
      </w:r>
      <w:r w:rsidR="00F21FB3" w:rsidRPr="001D1CA2">
        <w:rPr>
          <w:lang w:val="de-DE"/>
        </w:rPr>
        <w:t>s</w:t>
      </w:r>
      <w:proofErr w:type="spellEnd"/>
      <w:r w:rsidR="007B5C1F" w:rsidRPr="001D1CA2">
        <w:rPr>
          <w:lang w:val="de-DE"/>
        </w:rPr>
        <w:t>.</w:t>
      </w:r>
    </w:p>
    <w:sectPr w:rsidR="001921B4" w:rsidRPr="00B45971"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FDB2" w14:textId="77777777" w:rsidR="009E4858" w:rsidRDefault="009E4858">
      <w:r>
        <w:separator/>
      </w:r>
    </w:p>
  </w:endnote>
  <w:endnote w:type="continuationSeparator" w:id="0">
    <w:p w14:paraId="285E563F" w14:textId="77777777" w:rsidR="009E4858" w:rsidRDefault="009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4070" w14:textId="77777777" w:rsidR="009E4858" w:rsidRDefault="009E4858">
      <w:r>
        <w:separator/>
      </w:r>
    </w:p>
  </w:footnote>
  <w:footnote w:type="continuationSeparator" w:id="0">
    <w:p w14:paraId="6C1866EA" w14:textId="77777777" w:rsidR="009E4858" w:rsidRDefault="009E4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C37FB7"/>
    <w:multiLevelType w:val="hybridMultilevel"/>
    <w:tmpl w:val="BD5C043C"/>
    <w:lvl w:ilvl="0" w:tplc="A8A07BA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8"/>
  </w:num>
  <w:num w:numId="2" w16cid:durableId="1685743715">
    <w:abstractNumId w:val="0"/>
  </w:num>
  <w:num w:numId="3" w16cid:durableId="1033311025">
    <w:abstractNumId w:val="11"/>
  </w:num>
  <w:num w:numId="4" w16cid:durableId="692221117">
    <w:abstractNumId w:val="10"/>
  </w:num>
  <w:num w:numId="5" w16cid:durableId="1798911639">
    <w:abstractNumId w:val="6"/>
  </w:num>
  <w:num w:numId="6" w16cid:durableId="1393850141">
    <w:abstractNumId w:val="7"/>
  </w:num>
  <w:num w:numId="7" w16cid:durableId="190267761">
    <w:abstractNumId w:val="3"/>
  </w:num>
  <w:num w:numId="8" w16cid:durableId="10882362">
    <w:abstractNumId w:val="2"/>
  </w:num>
  <w:num w:numId="9" w16cid:durableId="1541553196">
    <w:abstractNumId w:val="4"/>
  </w:num>
  <w:num w:numId="10" w16cid:durableId="2132280990">
    <w:abstractNumId w:val="9"/>
  </w:num>
  <w:num w:numId="11" w16cid:durableId="140738264">
    <w:abstractNumId w:val="1"/>
  </w:num>
  <w:num w:numId="12" w16cid:durableId="321655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DC7"/>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72F"/>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3166"/>
    <w:rsid w:val="000A3459"/>
    <w:rsid w:val="000A48A7"/>
    <w:rsid w:val="000A4CA1"/>
    <w:rsid w:val="000A51A8"/>
    <w:rsid w:val="000A5296"/>
    <w:rsid w:val="000A5C00"/>
    <w:rsid w:val="000A67DB"/>
    <w:rsid w:val="000A6983"/>
    <w:rsid w:val="000A6A15"/>
    <w:rsid w:val="000A7529"/>
    <w:rsid w:val="000A7600"/>
    <w:rsid w:val="000A7A89"/>
    <w:rsid w:val="000A7CA3"/>
    <w:rsid w:val="000A7D1E"/>
    <w:rsid w:val="000B001C"/>
    <w:rsid w:val="000B0823"/>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25A"/>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5B2C"/>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5EA5"/>
    <w:rsid w:val="0012781A"/>
    <w:rsid w:val="00127A46"/>
    <w:rsid w:val="001301AA"/>
    <w:rsid w:val="00130330"/>
    <w:rsid w:val="00130926"/>
    <w:rsid w:val="00130E9A"/>
    <w:rsid w:val="00131534"/>
    <w:rsid w:val="00131FE4"/>
    <w:rsid w:val="00132275"/>
    <w:rsid w:val="00132483"/>
    <w:rsid w:val="00132C40"/>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4C6E"/>
    <w:rsid w:val="00155426"/>
    <w:rsid w:val="0015566A"/>
    <w:rsid w:val="00155BE1"/>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2A1A"/>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D4D"/>
    <w:rsid w:val="002A7FCA"/>
    <w:rsid w:val="002B0DD0"/>
    <w:rsid w:val="002B1099"/>
    <w:rsid w:val="002B12A9"/>
    <w:rsid w:val="002B23EA"/>
    <w:rsid w:val="002B273A"/>
    <w:rsid w:val="002B2C82"/>
    <w:rsid w:val="002B44D0"/>
    <w:rsid w:val="002B499F"/>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38D"/>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A63"/>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5304"/>
    <w:rsid w:val="004056AA"/>
    <w:rsid w:val="004069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A96"/>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500"/>
    <w:rsid w:val="004928F9"/>
    <w:rsid w:val="004933B2"/>
    <w:rsid w:val="00493689"/>
    <w:rsid w:val="0049382A"/>
    <w:rsid w:val="004943E6"/>
    <w:rsid w:val="00494A06"/>
    <w:rsid w:val="00494F23"/>
    <w:rsid w:val="00495121"/>
    <w:rsid w:val="004960CC"/>
    <w:rsid w:val="004962E1"/>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F6A"/>
    <w:rsid w:val="005D1599"/>
    <w:rsid w:val="005D2078"/>
    <w:rsid w:val="005D271C"/>
    <w:rsid w:val="005D3F56"/>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D00"/>
    <w:rsid w:val="00681ECF"/>
    <w:rsid w:val="006824FC"/>
    <w:rsid w:val="00682801"/>
    <w:rsid w:val="00683191"/>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427"/>
    <w:rsid w:val="007205D8"/>
    <w:rsid w:val="007215E4"/>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04C"/>
    <w:rsid w:val="007742D6"/>
    <w:rsid w:val="0077444E"/>
    <w:rsid w:val="00774B9D"/>
    <w:rsid w:val="00774C1E"/>
    <w:rsid w:val="007750F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E84"/>
    <w:rsid w:val="00785699"/>
    <w:rsid w:val="007858A4"/>
    <w:rsid w:val="007859B2"/>
    <w:rsid w:val="007866C8"/>
    <w:rsid w:val="007866D4"/>
    <w:rsid w:val="007873FC"/>
    <w:rsid w:val="0078778D"/>
    <w:rsid w:val="00787B99"/>
    <w:rsid w:val="007900EC"/>
    <w:rsid w:val="0079078A"/>
    <w:rsid w:val="007910C9"/>
    <w:rsid w:val="00791412"/>
    <w:rsid w:val="007916A2"/>
    <w:rsid w:val="00792392"/>
    <w:rsid w:val="007925EE"/>
    <w:rsid w:val="00792838"/>
    <w:rsid w:val="00792943"/>
    <w:rsid w:val="00792D37"/>
    <w:rsid w:val="00792EC6"/>
    <w:rsid w:val="007933EC"/>
    <w:rsid w:val="007937BA"/>
    <w:rsid w:val="00793917"/>
    <w:rsid w:val="00794756"/>
    <w:rsid w:val="0079502D"/>
    <w:rsid w:val="007956FD"/>
    <w:rsid w:val="007961BF"/>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2E1"/>
    <w:rsid w:val="007C3BD8"/>
    <w:rsid w:val="007C41CE"/>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825"/>
    <w:rsid w:val="008D1A17"/>
    <w:rsid w:val="008D1DFD"/>
    <w:rsid w:val="008D220C"/>
    <w:rsid w:val="008D243F"/>
    <w:rsid w:val="008D247A"/>
    <w:rsid w:val="008D36EB"/>
    <w:rsid w:val="008D39D3"/>
    <w:rsid w:val="008D473F"/>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5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971"/>
    <w:rsid w:val="00B45A7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0062"/>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65E"/>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3EDE"/>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3104"/>
    <w:rsid w:val="00CA3486"/>
    <w:rsid w:val="00CA40BF"/>
    <w:rsid w:val="00CA42F2"/>
    <w:rsid w:val="00CA45F6"/>
    <w:rsid w:val="00CA4A65"/>
    <w:rsid w:val="00CA5489"/>
    <w:rsid w:val="00CA588E"/>
    <w:rsid w:val="00CA59E5"/>
    <w:rsid w:val="00CA62F8"/>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178FF"/>
    <w:rsid w:val="00D20ABA"/>
    <w:rsid w:val="00D20EE1"/>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45"/>
    <w:rsid w:val="00DD61D5"/>
    <w:rsid w:val="00DD67E4"/>
    <w:rsid w:val="00DD6CC9"/>
    <w:rsid w:val="00DD7CA7"/>
    <w:rsid w:val="00DD7F7F"/>
    <w:rsid w:val="00DE1F42"/>
    <w:rsid w:val="00DE243F"/>
    <w:rsid w:val="00DE24C6"/>
    <w:rsid w:val="00DE27D1"/>
    <w:rsid w:val="00DE37B6"/>
    <w:rsid w:val="00DE3903"/>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5F46"/>
    <w:rsid w:val="00E260D7"/>
    <w:rsid w:val="00E274EF"/>
    <w:rsid w:val="00E27722"/>
    <w:rsid w:val="00E30612"/>
    <w:rsid w:val="00E31785"/>
    <w:rsid w:val="00E321F2"/>
    <w:rsid w:val="00E326B6"/>
    <w:rsid w:val="00E32CC2"/>
    <w:rsid w:val="00E32DB0"/>
    <w:rsid w:val="00E32E8B"/>
    <w:rsid w:val="00E3317E"/>
    <w:rsid w:val="00E33894"/>
    <w:rsid w:val="00E33C1D"/>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Prateek</cp:lastModifiedBy>
  <cp:revision>6</cp:revision>
  <cp:lastPrinted>2012-10-30T00:20:00Z</cp:lastPrinted>
  <dcterms:created xsi:type="dcterms:W3CDTF">2023-04-06T04:10:00Z</dcterms:created>
  <dcterms:modified xsi:type="dcterms:W3CDTF">2023-04-06T20:26:00Z</dcterms:modified>
</cp:coreProperties>
</file>